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91D9" w14:textId="7A5EE907" w:rsidR="004708AF" w:rsidRDefault="004675C1" w:rsidP="004927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MÜHENDİSLİK TASARIMI</w:t>
      </w:r>
      <w:r w:rsidR="004708AF" w:rsidRPr="008244CA">
        <w:rPr>
          <w:rFonts w:ascii="Times New Roman" w:hAnsi="Times New Roman"/>
          <w:b/>
          <w:sz w:val="24"/>
          <w:szCs w:val="24"/>
        </w:rPr>
        <w:t xml:space="preserve"> DERSİ</w:t>
      </w:r>
    </w:p>
    <w:p w14:paraId="5C150407" w14:textId="078482B0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4"/>
        </w:rPr>
        <w:t>SONUÇ</w:t>
      </w:r>
      <w:r w:rsidRPr="008244CA">
        <w:rPr>
          <w:rFonts w:ascii="Times New Roman" w:hAnsi="Times New Roman"/>
          <w:b/>
          <w:sz w:val="24"/>
          <w:szCs w:val="24"/>
        </w:rPr>
        <w:t xml:space="preserve"> RAPORU</w:t>
      </w:r>
    </w:p>
    <w:p w14:paraId="2D486459" w14:textId="77777777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4D3E8213" w14:textId="77777777" w:rsidR="004708AF" w:rsidRPr="00D02575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7210E146" w14:textId="77777777" w:rsidR="004708AF" w:rsidRPr="00D02575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0C9F3A7C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53936ADB" w14:textId="77777777" w:rsidR="004708AF" w:rsidRPr="00D02575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59773C28" w14:textId="388D3F18" w:rsidR="004708AF" w:rsidRPr="0085627A" w:rsidRDefault="004675C1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bookmarkStart w:id="0" w:name="_Hlk127261912"/>
      <w:r>
        <w:rPr>
          <w:rFonts w:ascii="Times New Roman" w:hAnsi="Times New Roman"/>
          <w:b/>
          <w:sz w:val="28"/>
          <w:szCs w:val="28"/>
        </w:rPr>
        <w:t>TASARIM</w:t>
      </w:r>
      <w:r w:rsidR="004708AF">
        <w:rPr>
          <w:rFonts w:ascii="Times New Roman" w:hAnsi="Times New Roman"/>
          <w:b/>
          <w:sz w:val="28"/>
          <w:szCs w:val="28"/>
        </w:rPr>
        <w:t xml:space="preserve"> KONUSU</w:t>
      </w:r>
    </w:p>
    <w:bookmarkEnd w:id="0"/>
    <w:p w14:paraId="4E4BBA40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4A34FC6C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6DC48689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276A24AA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2E0D6101" w14:textId="77777777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14:paraId="524F35A2" w14:textId="77777777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C972A0" w14:textId="77777777" w:rsidR="004708AF" w:rsidRPr="007C58FB" w:rsidRDefault="004708AF" w:rsidP="00492769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 w:val="24"/>
          <w:szCs w:val="28"/>
        </w:rPr>
        <w:t>ÖĞRENCİ AD SOYAD</w:t>
      </w:r>
    </w:p>
    <w:p w14:paraId="223F37BF" w14:textId="693615D4" w:rsidR="004708AF" w:rsidRPr="00CD0D09" w:rsidRDefault="00CD0D09" w:rsidP="0049276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D0D09">
        <w:rPr>
          <w:rFonts w:ascii="Times New Roman" w:hAnsi="Times New Roman"/>
          <w:b/>
          <w:bCs/>
          <w:sz w:val="24"/>
          <w:szCs w:val="24"/>
        </w:rPr>
        <w:t>ÖĞRENCİ NO</w:t>
      </w:r>
    </w:p>
    <w:p w14:paraId="6E4A6922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7B039E2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A968BE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4243277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B0D95F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8FD8B2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78ED92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SORUMLU ÖĞRETİM ÜYELERİ</w:t>
      </w:r>
    </w:p>
    <w:p w14:paraId="793EC9C2" w14:textId="77777777" w:rsidR="004708AF" w:rsidRPr="007C58FB" w:rsidRDefault="004708AF" w:rsidP="0049276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AD SOYAD</w:t>
      </w:r>
    </w:p>
    <w:p w14:paraId="78CF21DE" w14:textId="77777777" w:rsidR="004708AF" w:rsidRPr="008B07B7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D532E5F" w14:textId="77777777" w:rsidR="004708AF" w:rsidRPr="008B07B7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B26BB91" w14:textId="77777777" w:rsidR="004708AF" w:rsidRPr="008B07B7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F68756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B2CA08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0FD5BF1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BCE784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DE264F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A244A1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E9E499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C003705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FA698F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678A801" w14:textId="77777777" w:rsidR="004708AF" w:rsidRDefault="004708AF" w:rsidP="004708A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407F3D" w14:textId="77777777" w:rsidR="004708AF" w:rsidRDefault="004708AF" w:rsidP="004927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B8F708" w14:textId="77777777" w:rsidR="0000215D" w:rsidRDefault="004708AF" w:rsidP="00492769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  <w:sectPr w:rsidR="0000215D" w:rsidSect="0000215D">
          <w:headerReference w:type="default" r:id="rId8"/>
          <w:footerReference w:type="default" r:id="rId9"/>
          <w:headerReference w:type="first" r:id="rId10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4708AF">
        <w:rPr>
          <w:rFonts w:ascii="Times New Roman" w:hAnsi="Times New Roman"/>
          <w:b/>
          <w:bCs/>
          <w:sz w:val="24"/>
        </w:rPr>
        <w:t>ISPARTA, 2025</w:t>
      </w:r>
    </w:p>
    <w:p w14:paraId="3FB07427" w14:textId="3DCC924B" w:rsidR="00C268EE" w:rsidRPr="007F011B" w:rsidRDefault="004708AF" w:rsidP="0000215D">
      <w:pPr>
        <w:pStyle w:val="Balk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Pr="007F011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2932C0" w:rsidRPr="007F011B">
        <w:rPr>
          <w:rFonts w:ascii="Times New Roman" w:hAnsi="Times New Roman" w:cs="Times New Roman"/>
          <w:color w:val="auto"/>
          <w:sz w:val="24"/>
          <w:szCs w:val="24"/>
        </w:rPr>
        <w:t>G</w:t>
      </w:r>
      <w:r w:rsidR="00756B5E">
        <w:rPr>
          <w:rFonts w:ascii="Times New Roman" w:hAnsi="Times New Roman" w:cs="Times New Roman"/>
          <w:color w:val="auto"/>
          <w:sz w:val="24"/>
          <w:szCs w:val="24"/>
        </w:rPr>
        <w:t>İRİ</w:t>
      </w:r>
      <w:r w:rsidR="002932C0" w:rsidRPr="007F011B">
        <w:rPr>
          <w:rFonts w:ascii="Times New Roman" w:hAnsi="Times New Roman" w:cs="Times New Roman"/>
          <w:color w:val="auto"/>
          <w:sz w:val="24"/>
          <w:szCs w:val="24"/>
        </w:rPr>
        <w:t>Ş</w:t>
      </w:r>
    </w:p>
    <w:p w14:paraId="6F64CFDC" w14:textId="0C993270" w:rsidR="00C268EE" w:rsidRPr="00D068BB" w:rsidRDefault="00CB4C73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1" w:name="_Hlk211699014"/>
      <w:r w:rsidRPr="00D068BB">
        <w:rPr>
          <w:rFonts w:ascii="Times New Roman" w:hAnsi="Times New Roman" w:cs="Times New Roman"/>
          <w:sz w:val="24"/>
          <w:szCs w:val="24"/>
          <w:lang w:val="tr-TR"/>
        </w:rPr>
        <w:t>Bu bölümde çalışmanın amacı, kapsamı ve mühendislik tasarımı yönü tekrar özetlenmeli; tasarımın hangi ihtiyacı karşıladığı, uygulama sürecinde elde edilen bulgular ve nihai hedefe ne ölçüde ulaşıldığı açıklanmalıdır. Ayrıca tasarımın mühendislik açısından sağladığı yenilik, katkı veya geliştirme yönleri vurgulanmalıdır.</w:t>
      </w:r>
    </w:p>
    <w:bookmarkEnd w:id="1"/>
    <w:p w14:paraId="09872702" w14:textId="53440BAE" w:rsidR="00C268EE" w:rsidRPr="008B178F" w:rsidRDefault="00000000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2. </w:t>
      </w:r>
      <w:r w:rsidR="002932C0"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>MATERYAL VE YÖNTEM</w:t>
      </w:r>
    </w:p>
    <w:p w14:paraId="20F02369" w14:textId="04707949" w:rsidR="00C268EE" w:rsidRPr="008B178F" w:rsidRDefault="00000000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Bu </w:t>
      </w:r>
      <w:r w:rsidR="004E7D84" w:rsidRPr="008B178F">
        <w:rPr>
          <w:rFonts w:ascii="Times New Roman" w:hAnsi="Times New Roman" w:cs="Times New Roman"/>
          <w:sz w:val="24"/>
          <w:szCs w:val="24"/>
          <w:lang w:val="tr-TR"/>
        </w:rPr>
        <w:t>bölümde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kullanılan araştırma veya uygulama yöntemi, veri toplama araçları ve </w:t>
      </w:r>
      <w:r w:rsidR="004675C1">
        <w:rPr>
          <w:rFonts w:ascii="Times New Roman" w:hAnsi="Times New Roman" w:cs="Times New Roman"/>
          <w:sz w:val="24"/>
          <w:szCs w:val="24"/>
          <w:lang w:val="tr-TR"/>
        </w:rPr>
        <w:t xml:space="preserve">mühendislik tasarımı 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>süreçleri açıklanmalıdır.</w:t>
      </w:r>
    </w:p>
    <w:p w14:paraId="378B4903" w14:textId="08EC7FE5" w:rsidR="00C268EE" w:rsidRPr="008B178F" w:rsidRDefault="00000000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3. </w:t>
      </w:r>
      <w:r w:rsidR="002932C0"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>BULGULAR VE TARTIŞMA</w:t>
      </w:r>
    </w:p>
    <w:p w14:paraId="757CD812" w14:textId="569A32BA" w:rsidR="00C268EE" w:rsidRPr="008B178F" w:rsidRDefault="004E7D84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Bu bölümde bulgular yorumlanmalı, </w:t>
      </w:r>
      <w:r w:rsidR="004675C1">
        <w:rPr>
          <w:rFonts w:ascii="Times New Roman" w:hAnsi="Times New Roman" w:cs="Times New Roman"/>
          <w:sz w:val="24"/>
          <w:szCs w:val="24"/>
          <w:lang w:val="tr-TR"/>
        </w:rPr>
        <w:t>mühendislik tasarımının hangi sorunun çözümüne yönelik olduğu belirtilmeli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ve</w:t>
      </w:r>
      <w:r w:rsidR="004675C1">
        <w:rPr>
          <w:rFonts w:ascii="Times New Roman" w:hAnsi="Times New Roman" w:cs="Times New Roman"/>
          <w:sz w:val="24"/>
          <w:szCs w:val="24"/>
          <w:lang w:val="tr-TR"/>
        </w:rPr>
        <w:t xml:space="preserve"> tasarım aşamasında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karşılaşılan sorunlar tartışılmalıdır. Elde edilen veriler, gözlemler veya analiz sonuçları bu bölümde sunulmalıdır. Grafik, tablo veya fotoğraf eklenebilir. </w:t>
      </w:r>
    </w:p>
    <w:p w14:paraId="517A1E87" w14:textId="530913FF" w:rsidR="00C268EE" w:rsidRPr="008B178F" w:rsidRDefault="00000000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4. </w:t>
      </w:r>
      <w:r w:rsidR="002932C0"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>SONUÇLAR</w:t>
      </w:r>
    </w:p>
    <w:p w14:paraId="2219A048" w14:textId="134F33DF" w:rsidR="004E7D84" w:rsidRPr="00123C9D" w:rsidRDefault="004E7D84" w:rsidP="000B259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123C9D">
        <w:rPr>
          <w:rFonts w:ascii="Times New Roman" w:hAnsi="Times New Roman" w:cs="Times New Roman"/>
          <w:sz w:val="24"/>
          <w:szCs w:val="24"/>
          <w:lang w:val="tr-TR"/>
        </w:rPr>
        <w:t xml:space="preserve">Bu bölümde </w:t>
      </w:r>
      <w:r w:rsidR="004675C1" w:rsidRPr="00123C9D">
        <w:rPr>
          <w:rFonts w:ascii="Times New Roman" w:hAnsi="Times New Roman" w:cs="Times New Roman"/>
          <w:sz w:val="24"/>
          <w:szCs w:val="24"/>
          <w:lang w:val="tr-TR"/>
        </w:rPr>
        <w:t>mühendislik tasarımı olarak</w:t>
      </w:r>
      <w:r w:rsidRPr="00123C9D">
        <w:rPr>
          <w:rFonts w:ascii="Times New Roman" w:hAnsi="Times New Roman" w:cs="Times New Roman"/>
          <w:sz w:val="24"/>
          <w:szCs w:val="24"/>
          <w:lang w:val="tr-TR"/>
        </w:rPr>
        <w:t xml:space="preserve"> ne yapıldığı ve elde edilen sonuçlar kısaca verilir.</w:t>
      </w:r>
      <w:r w:rsidR="000B2592" w:rsidRPr="00123C9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675C1" w:rsidRPr="00123C9D">
        <w:rPr>
          <w:rFonts w:ascii="Times New Roman" w:hAnsi="Times New Roman" w:cs="Times New Roman"/>
          <w:sz w:val="24"/>
          <w:szCs w:val="24"/>
          <w:lang w:val="tr-TR"/>
        </w:rPr>
        <w:t>Tasarımın</w:t>
      </w:r>
      <w:r w:rsidR="000B2592" w:rsidRPr="00123C9D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675C1" w:rsidRPr="00123C9D">
        <w:rPr>
          <w:rFonts w:ascii="Times New Roman" w:hAnsi="Times New Roman" w:cs="Times New Roman"/>
          <w:sz w:val="24"/>
          <w:szCs w:val="24"/>
          <w:lang w:val="tr-TR"/>
        </w:rPr>
        <w:t xml:space="preserve">yaygınlaştırılmasına yönelik ve </w:t>
      </w:r>
      <w:r w:rsidR="000B2592" w:rsidRPr="00123C9D">
        <w:rPr>
          <w:rFonts w:ascii="Times New Roman" w:hAnsi="Times New Roman" w:cs="Times New Roman"/>
          <w:sz w:val="24"/>
          <w:szCs w:val="24"/>
          <w:lang w:val="tr-TR"/>
        </w:rPr>
        <w:t>gelecekte daha iyi nasıl geliştirilebil</w:t>
      </w:r>
      <w:r w:rsidR="004675C1" w:rsidRPr="00123C9D">
        <w:rPr>
          <w:rFonts w:ascii="Times New Roman" w:hAnsi="Times New Roman" w:cs="Times New Roman"/>
          <w:sz w:val="24"/>
          <w:szCs w:val="24"/>
          <w:lang w:val="tr-TR"/>
        </w:rPr>
        <w:t>eceğine dair</w:t>
      </w:r>
      <w:r w:rsidR="000B2592" w:rsidRPr="00123C9D">
        <w:rPr>
          <w:rFonts w:ascii="Times New Roman" w:hAnsi="Times New Roman" w:cs="Times New Roman"/>
          <w:sz w:val="24"/>
          <w:szCs w:val="24"/>
          <w:lang w:val="tr-TR"/>
        </w:rPr>
        <w:t xml:space="preserve"> öneriler verilir.</w:t>
      </w:r>
    </w:p>
    <w:p w14:paraId="1A9A84AC" w14:textId="2726A779" w:rsidR="00C268EE" w:rsidRPr="008B178F" w:rsidRDefault="00162C49" w:rsidP="00B13AE1">
      <w:pPr>
        <w:pStyle w:val="Balk1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5. </w:t>
      </w:r>
      <w:r w:rsidR="002932C0" w:rsidRPr="008B178F">
        <w:rPr>
          <w:rFonts w:ascii="Times New Roman" w:hAnsi="Times New Roman" w:cs="Times New Roman"/>
          <w:color w:val="auto"/>
          <w:sz w:val="24"/>
          <w:szCs w:val="24"/>
          <w:lang w:val="tr-TR"/>
        </w:rPr>
        <w:t>KAYNAKÇA</w:t>
      </w:r>
    </w:p>
    <w:p w14:paraId="505F6DE2" w14:textId="6FD9F06F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Kaynaklar Isparta Uygulamalı Bilimler Üniversitesi Lisansüstü tez yazım </w:t>
      </w:r>
      <w:r w:rsidR="008B178F" w:rsidRPr="008B178F">
        <w:rPr>
          <w:rFonts w:ascii="Times New Roman" w:hAnsi="Times New Roman" w:cs="Times New Roman"/>
          <w:sz w:val="24"/>
          <w:szCs w:val="24"/>
          <w:lang w:val="tr-TR"/>
        </w:rPr>
        <w:t>kılavuzuna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göre aşağıdaki şekilde düzenlenmeli ve alfabetik olarak sıralanmalıdır.</w:t>
      </w:r>
    </w:p>
    <w:p w14:paraId="268BBA42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(Kitap ise)</w:t>
      </w:r>
    </w:p>
    <w:p w14:paraId="59752E8C" w14:textId="77777777" w:rsidR="004708AF" w:rsidRPr="008B178F" w:rsidRDefault="004708AF" w:rsidP="004708AF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Yıldırım, O. (2008). </w:t>
      </w:r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Sulama Sistemlerinin Tasarımı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. Ankara Üniversitesi Yayınları, Ankara Üniversitesi Basımevi.</w:t>
      </w:r>
    </w:p>
    <w:p w14:paraId="7F879004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0EACDD85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(Kitap bölümü ise)</w:t>
      </w:r>
    </w:p>
    <w:p w14:paraId="18BAF8BB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begin" w:fldLock="1"/>
      </w:r>
      <w:r w:rsidRPr="008B178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instrText xml:space="preserve">ADDIN Mendeley Bibliography CSL_BIBLIOGRAPHY </w:instrText>
      </w:r>
      <w:r w:rsidRPr="008B178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separate"/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Nunes, C. S., &amp; Kunamneni, A. (2018). Laccases-properties and applications. In </w:t>
      </w:r>
      <w:r w:rsidRPr="008B178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Enzymes in Human and Animal Nutrition: Principles and Perspectives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>. (</w:t>
      </w:r>
      <w:r w:rsidRPr="008B17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tr-TR"/>
        </w:rPr>
        <w:t>pp. 279-297)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</w:t>
      </w:r>
    </w:p>
    <w:p w14:paraId="57E4E75D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eastAsia="Times New Roman" w:hAnsi="Times New Roman" w:cs="Times New Roman"/>
          <w:color w:val="333333"/>
          <w:sz w:val="24"/>
          <w:szCs w:val="24"/>
          <w:lang w:val="tr-TR"/>
        </w:rPr>
        <w:fldChar w:fldCharType="end"/>
      </w:r>
    </w:p>
    <w:p w14:paraId="038CB4EE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(Tez ise)</w:t>
      </w:r>
    </w:p>
    <w:p w14:paraId="4805AF48" w14:textId="77777777" w:rsidR="004708AF" w:rsidRPr="008B178F" w:rsidRDefault="004708AF" w:rsidP="004708AF">
      <w:pPr>
        <w:shd w:val="clear" w:color="auto" w:fill="FFFFFF"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Parladır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Karcı, A. (2018). </w:t>
      </w:r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 xml:space="preserve">Uzaktan Algılama ve Coğrafi Bilgi Sistemlerinin Sulama Şebekelerinin Performans Değerlendirmesinde Kullanılması: Atabey Sulama </w:t>
      </w:r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lastRenderedPageBreak/>
        <w:t>Şebekesi Örneği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. (Yüksek Lisans Tezi, Isparta Uygulamalı Bilimler Üniversitesi Lisansüstü Eğitim Enstitüsü) </w:t>
      </w:r>
    </w:p>
    <w:p w14:paraId="421B0389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(Makale ise)</w:t>
      </w:r>
    </w:p>
    <w:p w14:paraId="216382CD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Ucar, Y., Kazaz, S., Eraslan, F., 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&amp;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 Baydar, H. (2017). Effects of different irrigation water and nitrogen levels on the water use, rose flower yield and oil yield of Rosa damascena. </w:t>
      </w:r>
      <w:r w:rsidRPr="008B178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Agricultural Water Management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 xml:space="preserve">, </w:t>
      </w:r>
      <w:r w:rsidRPr="008B178F">
        <w:rPr>
          <w:rFonts w:ascii="Times New Roman" w:hAnsi="Times New Roman" w:cs="Times New Roman"/>
          <w:i/>
          <w:iCs/>
          <w:noProof/>
          <w:sz w:val="24"/>
          <w:szCs w:val="24"/>
          <w:lang w:val="tr-TR"/>
        </w:rPr>
        <w:t>182</w:t>
      </w:r>
      <w:r w:rsidRPr="008B178F">
        <w:rPr>
          <w:rFonts w:ascii="Times New Roman" w:hAnsi="Times New Roman" w:cs="Times New Roman"/>
          <w:iCs/>
          <w:noProof/>
          <w:sz w:val="24"/>
          <w:szCs w:val="24"/>
          <w:lang w:val="tr-TR"/>
        </w:rPr>
        <w:t>(3)</w:t>
      </w: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>, 94-102. https://doi.org/10.1016/j.agwat.2016.12.004</w:t>
      </w:r>
    </w:p>
    <w:p w14:paraId="019DB8C2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lang w:val="tr-TR"/>
        </w:rPr>
        <w:t>(</w:t>
      </w: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Bildiri ise)</w:t>
      </w:r>
    </w:p>
    <w:p w14:paraId="1AC5AC7E" w14:textId="77777777" w:rsidR="004708AF" w:rsidRPr="008B178F" w:rsidRDefault="004708AF" w:rsidP="004708AF">
      <w:pPr>
        <w:shd w:val="clear" w:color="auto" w:fill="FFFFFF"/>
        <w:spacing w:after="12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Bakbak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, F., &amp; Uçar, Y. (2018).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Some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Performance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Indicators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Sprinkler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Irrigation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Systems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on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Sandıklı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Plain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(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Turkey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). </w:t>
      </w:r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 xml:space="preserve">IX. International </w:t>
      </w:r>
      <w:proofErr w:type="spellStart"/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Agricultural</w:t>
      </w:r>
      <w:proofErr w:type="spellEnd"/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Symposium</w:t>
      </w:r>
      <w:proofErr w:type="spellEnd"/>
      <w:r w:rsidRPr="008B178F">
        <w:rPr>
          <w:rFonts w:ascii="Times New Roman" w:eastAsia="Times New Roman" w:hAnsi="Times New Roman" w:cs="Times New Roman"/>
          <w:i/>
          <w:sz w:val="24"/>
          <w:szCs w:val="24"/>
          <w:lang w:val="tr-TR"/>
        </w:rPr>
        <w:t>.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October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 04-07, </w:t>
      </w:r>
      <w:proofErr w:type="spellStart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Joharina</w:t>
      </w:r>
      <w:proofErr w:type="spellEnd"/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, 1590-1596.</w:t>
      </w:r>
    </w:p>
    <w:p w14:paraId="2C77123A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6F02FFBD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(Teknik rapor ise)</w:t>
      </w:r>
    </w:p>
    <w:p w14:paraId="6119F4D9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Meşhur, M., </w:t>
      </w:r>
      <w:r w:rsidRPr="008B178F">
        <w:rPr>
          <w:rFonts w:ascii="Times New Roman" w:eastAsia="Times New Roman" w:hAnsi="Times New Roman" w:cs="Times New Roman"/>
          <w:sz w:val="24"/>
          <w:szCs w:val="24"/>
          <w:lang w:val="tr-TR"/>
        </w:rPr>
        <w:t>&amp;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Yoldemir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, O. (1983). Köyceğiz, Datça Arasında Kalan Alanın Jeolojisi. TPAO Rapor No:1732, 185s.</w:t>
      </w:r>
    </w:p>
    <w:p w14:paraId="3BD322BE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Cambria" w:hAnsi="Cambria"/>
          <w:sz w:val="24"/>
          <w:szCs w:val="24"/>
          <w:lang w:val="tr-TR"/>
        </w:rPr>
      </w:pPr>
    </w:p>
    <w:p w14:paraId="2DE89ACE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(Yazarı belli olmayan web sayfası ise)</w:t>
      </w:r>
    </w:p>
    <w:p w14:paraId="4F87AB20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Anonim (2014).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Why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Are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So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Obsessed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Myers-Briggs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? https://medium.com/the-archipelago/why-are-we-so-obsessed-with-the-myers-briggs-b01574b48708. (Son erişim tarihi: 07 Temmuz 2022)</w:t>
      </w:r>
    </w:p>
    <w:p w14:paraId="22BCBFBF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3E14C30D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 xml:space="preserve"> (Yazarı belli olan web sayfası ise)</w:t>
      </w:r>
    </w:p>
    <w:p w14:paraId="3D8B9A32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Bologna, C. (2019).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Why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some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people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with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anxiety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love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watching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horror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movies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HuffPost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. https://www.huffpost.com/entry/anxiety-love-watching-horror-movies_l_5d277587e4b02a5a5d57b59e. (Son erişim tarihi: 07 Temmuz 2022)</w:t>
      </w:r>
    </w:p>
    <w:p w14:paraId="2FA74D27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</w:p>
    <w:p w14:paraId="4047949B" w14:textId="77777777" w:rsidR="004708AF" w:rsidRPr="008B178F" w:rsidRDefault="004708AF" w:rsidP="004708AF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hAnsi="Times New Roman" w:cs="Times New Roman"/>
          <w:noProof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noProof/>
          <w:sz w:val="24"/>
          <w:szCs w:val="24"/>
          <w:highlight w:val="yellow"/>
          <w:lang w:val="tr-TR"/>
        </w:rPr>
        <w:t>(Sandart/Kurum/Kuruluş)</w:t>
      </w:r>
    </w:p>
    <w:p w14:paraId="151CC412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TSE 2478 (1976). Odunun Statik Eğilmede Elastikiyet Modülün Tayini. TSE, I. Baskı, Ankara. </w:t>
      </w:r>
    </w:p>
    <w:p w14:paraId="0B9A9E24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5B17603" w14:textId="77777777" w:rsidR="004708AF" w:rsidRPr="008B178F" w:rsidRDefault="004708AF" w:rsidP="004708AF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FAO (2019).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The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State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of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Security and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Nutrition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in Europe and Central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Asia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Food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and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Agricultural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Organization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, </w:t>
      </w:r>
      <w:proofErr w:type="spellStart"/>
      <w:r w:rsidRPr="008B178F">
        <w:rPr>
          <w:rFonts w:ascii="Times New Roman" w:hAnsi="Times New Roman" w:cs="Times New Roman"/>
          <w:sz w:val="24"/>
          <w:szCs w:val="24"/>
          <w:lang w:val="tr-TR"/>
        </w:rPr>
        <w:t>Budapest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>.</w:t>
      </w:r>
    </w:p>
    <w:p w14:paraId="44092E00" w14:textId="77777777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C91ED42" w14:textId="77777777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547DA8F" w14:textId="20EB517D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Öğrenci Ad </w:t>
      </w:r>
      <w:proofErr w:type="spellStart"/>
      <w:proofErr w:type="gramStart"/>
      <w:r w:rsidR="008B178F"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8B178F">
        <w:rPr>
          <w:rFonts w:ascii="Times New Roman" w:hAnsi="Times New Roman" w:cs="Times New Roman"/>
          <w:sz w:val="24"/>
          <w:szCs w:val="24"/>
          <w:lang w:val="tr-TR"/>
        </w:rPr>
        <w:t>oyad</w:t>
      </w:r>
      <w:proofErr w:type="spellEnd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:</w:t>
      </w:r>
      <w:proofErr w:type="gramEnd"/>
    </w:p>
    <w:p w14:paraId="10989B22" w14:textId="77777777" w:rsidR="004708AF" w:rsidRPr="008B178F" w:rsidRDefault="004708AF" w:rsidP="004708AF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Teslim tarihi       </w:t>
      </w:r>
      <w:proofErr w:type="gramStart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 :</w:t>
      </w:r>
      <w:proofErr w:type="gramEnd"/>
    </w:p>
    <w:p w14:paraId="025DD9D9" w14:textId="436A3690" w:rsidR="007F011B" w:rsidRPr="008B178F" w:rsidRDefault="004708AF" w:rsidP="00B13AE1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İmza                   </w:t>
      </w:r>
      <w:proofErr w:type="gramStart"/>
      <w:r w:rsidRPr="008B178F">
        <w:rPr>
          <w:rFonts w:ascii="Times New Roman" w:hAnsi="Times New Roman" w:cs="Times New Roman"/>
          <w:sz w:val="24"/>
          <w:szCs w:val="24"/>
          <w:lang w:val="tr-TR"/>
        </w:rPr>
        <w:t xml:space="preserve">  :</w:t>
      </w:r>
      <w:proofErr w:type="gramEnd"/>
    </w:p>
    <w:sectPr w:rsidR="007F011B" w:rsidRPr="008B178F" w:rsidSect="0000215D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7927" w14:textId="77777777" w:rsidR="006A3F21" w:rsidRDefault="006A3F21" w:rsidP="00162C49">
      <w:pPr>
        <w:spacing w:after="0" w:line="240" w:lineRule="auto"/>
      </w:pPr>
      <w:r>
        <w:separator/>
      </w:r>
    </w:p>
  </w:endnote>
  <w:endnote w:type="continuationSeparator" w:id="0">
    <w:p w14:paraId="5FD37BBF" w14:textId="77777777" w:rsidR="006A3F21" w:rsidRDefault="006A3F21" w:rsidP="00162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9965791"/>
      <w:docPartObj>
        <w:docPartGallery w:val="Page Numbers (Bottom of Page)"/>
        <w:docPartUnique/>
      </w:docPartObj>
    </w:sdtPr>
    <w:sdtContent>
      <w:p w14:paraId="6E6496C9" w14:textId="7DAF969A" w:rsidR="007F011B" w:rsidRDefault="007F011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3A46C8ED" w14:textId="58DB414A" w:rsidR="00162C49" w:rsidRDefault="00162C49" w:rsidP="00162C49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5085" w14:textId="77777777" w:rsidR="006A3F21" w:rsidRDefault="006A3F21" w:rsidP="00162C49">
      <w:pPr>
        <w:spacing w:after="0" w:line="240" w:lineRule="auto"/>
      </w:pPr>
      <w:r>
        <w:separator/>
      </w:r>
    </w:p>
  </w:footnote>
  <w:footnote w:type="continuationSeparator" w:id="0">
    <w:p w14:paraId="362BD82F" w14:textId="77777777" w:rsidR="006A3F21" w:rsidRDefault="006A3F21" w:rsidP="00162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00215D" w14:paraId="0821A47A" w14:textId="77777777" w:rsidTr="00823470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615B1993" w14:textId="77777777" w:rsidR="0000215D" w:rsidRPr="00B84368" w:rsidRDefault="0000215D" w:rsidP="0000215D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4053C0FA" wp14:editId="681EFC5A">
                <wp:extent cx="634945" cy="720000"/>
                <wp:effectExtent l="0" t="0" r="0" b="4445"/>
                <wp:docPr id="1718146464" name="Resim 1718146464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7EF0F3EA" w14:textId="77777777" w:rsidR="0000215D" w:rsidRDefault="0000215D" w:rsidP="0000215D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7CCA5E33" w14:textId="77777777" w:rsidR="0000215D" w:rsidRPr="00B84368" w:rsidRDefault="0000215D" w:rsidP="0000215D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7A8CD704" w14:textId="77777777" w:rsidR="0000215D" w:rsidRDefault="0000215D" w:rsidP="0000215D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07C3F81E" wp14:editId="04124E33">
                <wp:extent cx="722250" cy="720000"/>
                <wp:effectExtent l="0" t="0" r="1905" b="4445"/>
                <wp:docPr id="1933983307" name="Resim 1933983307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536B49D" w14:textId="77777777" w:rsidR="00162C49" w:rsidRDefault="00162C49" w:rsidP="00162C49">
    <w:pPr>
      <w:pStyle w:val="stBilgi"/>
      <w:jc w:val="center"/>
    </w:pPr>
  </w:p>
  <w:p w14:paraId="5F9A8223" w14:textId="77777777" w:rsidR="0000215D" w:rsidRDefault="0000215D" w:rsidP="00162C49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74"/>
      <w:gridCol w:w="7258"/>
      <w:gridCol w:w="1474"/>
    </w:tblGrid>
    <w:tr w:rsidR="0000215D" w14:paraId="36B59339" w14:textId="77777777" w:rsidTr="00823470">
      <w:trPr>
        <w:trHeight w:val="1474"/>
        <w:jc w:val="center"/>
      </w:trPr>
      <w:tc>
        <w:tcPr>
          <w:tcW w:w="1474" w:type="dxa"/>
          <w:tcBorders>
            <w:bottom w:val="single" w:sz="4" w:space="0" w:color="auto"/>
          </w:tcBorders>
          <w:vAlign w:val="center"/>
        </w:tcPr>
        <w:p w14:paraId="3F1B4AAD" w14:textId="77777777" w:rsidR="0000215D" w:rsidRPr="00B84368" w:rsidRDefault="0000215D" w:rsidP="0000215D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>
            <w:rPr>
              <w:noProof/>
            </w:rPr>
            <w:drawing>
              <wp:inline distT="0" distB="0" distL="0" distR="0" wp14:anchorId="3AD2D6FA" wp14:editId="458E1806">
                <wp:extent cx="634945" cy="720000"/>
                <wp:effectExtent l="0" t="0" r="0" b="4445"/>
                <wp:docPr id="3" name="Resim 3" descr="metin, yazı tipi, grafik, grafik tasarım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 descr="metin, yazı tipi, grafik, grafik tasarım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4945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bottom w:val="single" w:sz="4" w:space="0" w:color="auto"/>
          </w:tcBorders>
          <w:vAlign w:val="center"/>
        </w:tcPr>
        <w:p w14:paraId="150CB31B" w14:textId="77777777" w:rsidR="0000215D" w:rsidRDefault="0000215D" w:rsidP="0000215D">
          <w:pPr>
            <w:spacing w:after="0" w:line="240" w:lineRule="auto"/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ISPARTA UYGULAMALI BİLİMLER ÜNİVERSİTESİ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  <w:p w14:paraId="233FC7A3" w14:textId="77777777" w:rsidR="0000215D" w:rsidRPr="00B84368" w:rsidRDefault="0000215D" w:rsidP="0000215D">
          <w:pPr>
            <w:spacing w:after="0" w:line="240" w:lineRule="auto"/>
            <w:jc w:val="center"/>
            <w:rPr>
              <w:b/>
              <w:bCs/>
              <w:sz w:val="30"/>
              <w:szCs w:val="30"/>
            </w:rPr>
          </w:pPr>
          <w:r w:rsidRPr="00360DD5">
            <w:rPr>
              <w:rFonts w:cstheme="minorHAnsi"/>
              <w:b/>
              <w:bCs/>
              <w:sz w:val="24"/>
              <w:szCs w:val="24"/>
            </w:rPr>
            <w:t>ORMAN FAKÜLTESİ</w:t>
          </w:r>
          <w:r>
            <w:rPr>
              <w:rFonts w:cstheme="minorHAnsi"/>
              <w:b/>
              <w:bCs/>
              <w:sz w:val="24"/>
              <w:szCs w:val="24"/>
            </w:rPr>
            <w:t xml:space="preserve"> </w:t>
          </w:r>
        </w:p>
      </w:tc>
      <w:tc>
        <w:tcPr>
          <w:tcW w:w="1474" w:type="dxa"/>
          <w:tcBorders>
            <w:bottom w:val="single" w:sz="4" w:space="0" w:color="auto"/>
          </w:tcBorders>
          <w:vAlign w:val="center"/>
        </w:tcPr>
        <w:p w14:paraId="60DA6DDD" w14:textId="77777777" w:rsidR="0000215D" w:rsidRDefault="0000215D" w:rsidP="0000215D">
          <w:pPr>
            <w:spacing w:after="0" w:line="240" w:lineRule="auto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73C8AE6" wp14:editId="68A988E5">
                <wp:extent cx="722250" cy="720000"/>
                <wp:effectExtent l="0" t="0" r="1905" b="4445"/>
                <wp:docPr id="1" name="Resim 1" descr="amblem, logo, ticari marka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ticari marka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225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D7F310" w14:textId="77777777" w:rsidR="0000215D" w:rsidRDefault="0000215D" w:rsidP="0000215D">
    <w:pPr>
      <w:pStyle w:val="stBilgi"/>
      <w:jc w:val="center"/>
    </w:pPr>
  </w:p>
  <w:p w14:paraId="32281415" w14:textId="77777777" w:rsidR="0000215D" w:rsidRDefault="0000215D" w:rsidP="0000215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474106">
    <w:abstractNumId w:val="8"/>
  </w:num>
  <w:num w:numId="2" w16cid:durableId="639503269">
    <w:abstractNumId w:val="6"/>
  </w:num>
  <w:num w:numId="3" w16cid:durableId="1705523409">
    <w:abstractNumId w:val="5"/>
  </w:num>
  <w:num w:numId="4" w16cid:durableId="474880200">
    <w:abstractNumId w:val="4"/>
  </w:num>
  <w:num w:numId="5" w16cid:durableId="1808543679">
    <w:abstractNumId w:val="7"/>
  </w:num>
  <w:num w:numId="6" w16cid:durableId="1224877590">
    <w:abstractNumId w:val="3"/>
  </w:num>
  <w:num w:numId="7" w16cid:durableId="101657583">
    <w:abstractNumId w:val="2"/>
  </w:num>
  <w:num w:numId="8" w16cid:durableId="1247031722">
    <w:abstractNumId w:val="1"/>
  </w:num>
  <w:num w:numId="9" w16cid:durableId="428086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15D"/>
    <w:rsid w:val="00034616"/>
    <w:rsid w:val="0006063C"/>
    <w:rsid w:val="0008236C"/>
    <w:rsid w:val="0008332E"/>
    <w:rsid w:val="000B2592"/>
    <w:rsid w:val="00123C9D"/>
    <w:rsid w:val="0015074B"/>
    <w:rsid w:val="00162C49"/>
    <w:rsid w:val="00164320"/>
    <w:rsid w:val="0017173F"/>
    <w:rsid w:val="001A72DA"/>
    <w:rsid w:val="001E365C"/>
    <w:rsid w:val="001F5408"/>
    <w:rsid w:val="002932C0"/>
    <w:rsid w:val="0029639D"/>
    <w:rsid w:val="00326F90"/>
    <w:rsid w:val="00390491"/>
    <w:rsid w:val="003A2EF6"/>
    <w:rsid w:val="003B47CA"/>
    <w:rsid w:val="00434220"/>
    <w:rsid w:val="004675C1"/>
    <w:rsid w:val="004708AF"/>
    <w:rsid w:val="00492769"/>
    <w:rsid w:val="004E7D84"/>
    <w:rsid w:val="00551855"/>
    <w:rsid w:val="00613122"/>
    <w:rsid w:val="006268E1"/>
    <w:rsid w:val="006A3F21"/>
    <w:rsid w:val="00736D17"/>
    <w:rsid w:val="00756B5E"/>
    <w:rsid w:val="007A3E2E"/>
    <w:rsid w:val="007E047A"/>
    <w:rsid w:val="007F011B"/>
    <w:rsid w:val="00824196"/>
    <w:rsid w:val="008430A8"/>
    <w:rsid w:val="008A2139"/>
    <w:rsid w:val="008B178F"/>
    <w:rsid w:val="008E4F48"/>
    <w:rsid w:val="00923433"/>
    <w:rsid w:val="00A2057F"/>
    <w:rsid w:val="00A6611F"/>
    <w:rsid w:val="00AA1D8D"/>
    <w:rsid w:val="00B13AE1"/>
    <w:rsid w:val="00B278BD"/>
    <w:rsid w:val="00B42062"/>
    <w:rsid w:val="00B47730"/>
    <w:rsid w:val="00B62F25"/>
    <w:rsid w:val="00B65404"/>
    <w:rsid w:val="00BA638E"/>
    <w:rsid w:val="00C0479C"/>
    <w:rsid w:val="00C268EE"/>
    <w:rsid w:val="00C441AE"/>
    <w:rsid w:val="00CB0664"/>
    <w:rsid w:val="00CB31A6"/>
    <w:rsid w:val="00CB4C73"/>
    <w:rsid w:val="00CD0D09"/>
    <w:rsid w:val="00D068BB"/>
    <w:rsid w:val="00DD052F"/>
    <w:rsid w:val="00E65587"/>
    <w:rsid w:val="00F507E3"/>
    <w:rsid w:val="00FB15B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FABB418"/>
  <w14:defaultImageDpi w14:val="300"/>
  <w15:docId w15:val="{07F8B0B6-4F6B-4AA4-948E-F01A4F09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H. Oğuz Çoban</cp:lastModifiedBy>
  <cp:revision>5</cp:revision>
  <dcterms:created xsi:type="dcterms:W3CDTF">2025-10-18T13:50:00Z</dcterms:created>
  <dcterms:modified xsi:type="dcterms:W3CDTF">2025-10-19T16:55:00Z</dcterms:modified>
  <cp:category/>
</cp:coreProperties>
</file>